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028D" w14:textId="77777777" w:rsidR="00F52893" w:rsidRPr="00F52893" w:rsidRDefault="00F52893" w:rsidP="00F52893">
      <w:pPr>
        <w:pStyle w:val="Heading1"/>
        <w:rPr>
          <w:rFonts w:cstheme="majorHAnsi"/>
          <w:color w:val="auto"/>
          <w:sz w:val="48"/>
          <w:szCs w:val="48"/>
        </w:rPr>
      </w:pPr>
      <w:r w:rsidRPr="00F52893">
        <w:rPr>
          <w:rFonts w:cstheme="majorHAnsi"/>
          <w:color w:val="auto"/>
          <w:sz w:val="48"/>
          <w:szCs w:val="48"/>
        </w:rPr>
        <w:t>Financial &amp; Technical Justification</w:t>
      </w:r>
    </w:p>
    <w:p w14:paraId="4192A819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Cypress Envirosystems Green Box Controller (GBC) Upgrade &amp; Migration</w:t>
      </w:r>
    </w:p>
    <w:p w14:paraId="3247AEDC" w14:textId="77777777" w:rsidR="00F52893" w:rsidRPr="00F52893" w:rsidRDefault="00F52893" w:rsidP="00F52893">
      <w:pPr>
        <w:pStyle w:val="Heading3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Facilities &amp; Building Automation Systems</w:t>
      </w:r>
    </w:p>
    <w:p w14:paraId="030BF75B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44456F05">
          <v:rect id="_x0000_i1025" style="width:0;height:1.5pt" o:hralign="center" o:hrstd="t" o:hr="t" fillcolor="#a0a0a0" stroked="f"/>
        </w:pict>
      </w:r>
    </w:p>
    <w:p w14:paraId="7D1D11D5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Executive Summary</w:t>
      </w:r>
    </w:p>
    <w:p w14:paraId="5F4205ED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Approval is requested to upgrade </w:t>
      </w:r>
      <w:r w:rsidRPr="00F52893">
        <w:rPr>
          <w:rStyle w:val="Strong"/>
          <w:rFonts w:asciiTheme="majorHAnsi" w:eastAsiaTheme="majorEastAsia" w:hAnsiTheme="majorHAnsi" w:cstheme="majorHAnsi"/>
        </w:rPr>
        <w:t>Cypress Envirosystems Green Box Controllers (GBCs)</w:t>
      </w:r>
      <w:r w:rsidRPr="00F52893">
        <w:rPr>
          <w:rFonts w:asciiTheme="majorHAnsi" w:hAnsiTheme="majorHAnsi" w:cstheme="majorHAnsi"/>
        </w:rPr>
        <w:t xml:space="preserve"> supporting building automation systems. This upgrade is required as a direct result of </w:t>
      </w:r>
      <w:r w:rsidRPr="00F52893">
        <w:rPr>
          <w:rStyle w:val="Strong"/>
          <w:rFonts w:asciiTheme="majorHAnsi" w:eastAsiaTheme="majorEastAsia" w:hAnsiTheme="majorHAnsi" w:cstheme="majorHAnsi"/>
        </w:rPr>
        <w:t>Microsoft End-of-Support (EoS)</w:t>
      </w:r>
      <w:r w:rsidRPr="00F52893">
        <w:rPr>
          <w:rFonts w:asciiTheme="majorHAnsi" w:hAnsiTheme="majorHAnsi" w:cstheme="majorHAnsi"/>
        </w:rPr>
        <w:t xml:space="preserve"> for the legacy Microsoft Windows operating systems currently running on these controllers.</w:t>
      </w:r>
    </w:p>
    <w:p w14:paraId="02EA3516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Continued operation of building control infrastructure on unsupported operating systems exposes </w:t>
      </w:r>
      <w:r w:rsidRPr="00F52893">
        <w:rPr>
          <w:rStyle w:val="Strong"/>
          <w:rFonts w:asciiTheme="majorHAnsi" w:eastAsiaTheme="majorEastAsia" w:hAnsiTheme="majorHAnsi" w:cstheme="majorHAnsi"/>
        </w:rPr>
        <w:t>escalating cybersecurity, operational, and compliance risks</w:t>
      </w:r>
      <w:r w:rsidRPr="00F52893">
        <w:rPr>
          <w:rFonts w:asciiTheme="majorHAnsi" w:hAnsiTheme="majorHAnsi" w:cstheme="majorHAnsi"/>
        </w:rPr>
        <w:t>. This avoidable risk is inconsistent with modern enterprise and public-sector governance, cybersecurity best practices, and institutional risk-management expectations.</w:t>
      </w:r>
    </w:p>
    <w:p w14:paraId="6E033441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36C0F559">
          <v:rect id="_x0000_i1026" style="width:0;height:1.5pt" o:hralign="center" o:hrstd="t" o:hr="t" fillcolor="#a0a0a0" stroked="f"/>
        </w:pict>
      </w:r>
    </w:p>
    <w:p w14:paraId="0BF8825A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Primary Business Driver: Microsoft End-of-Support Risk</w:t>
      </w:r>
    </w:p>
    <w:p w14:paraId="57AD6DEB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Many deployed Cypress Envirosystems Green Box Controllers are currently running </w:t>
      </w:r>
      <w:r w:rsidRPr="00F52893">
        <w:rPr>
          <w:rStyle w:val="Strong"/>
          <w:rFonts w:asciiTheme="majorHAnsi" w:eastAsiaTheme="majorEastAsia" w:hAnsiTheme="majorHAnsi" w:cstheme="majorHAnsi"/>
        </w:rPr>
        <w:t>Windows 7 and/or Windows 10</w:t>
      </w:r>
      <w:r w:rsidRPr="00F52893">
        <w:rPr>
          <w:rFonts w:asciiTheme="majorHAnsi" w:hAnsiTheme="majorHAnsi" w:cstheme="majorHAnsi"/>
        </w:rPr>
        <w:t>, both of which have surpassed or are approaching Microsoft End-of-Support:</w:t>
      </w:r>
    </w:p>
    <w:p w14:paraId="335EA531" w14:textId="77777777" w:rsidR="00F52893" w:rsidRPr="00F52893" w:rsidRDefault="00F52893" w:rsidP="006265F8">
      <w:pPr>
        <w:pStyle w:val="NormalWeb"/>
        <w:numPr>
          <w:ilvl w:val="0"/>
          <w:numId w:val="1"/>
        </w:numPr>
        <w:rPr>
          <w:rFonts w:asciiTheme="majorHAnsi" w:hAnsiTheme="majorHAnsi" w:cstheme="majorHAnsi"/>
        </w:rPr>
      </w:pPr>
      <w:r w:rsidRPr="00F52893">
        <w:rPr>
          <w:rStyle w:val="Strong"/>
          <w:rFonts w:asciiTheme="majorHAnsi" w:eastAsiaTheme="majorEastAsia" w:hAnsiTheme="majorHAnsi" w:cstheme="majorHAnsi"/>
        </w:rPr>
        <w:t>Windows 7</w:t>
      </w:r>
      <w:r w:rsidRPr="00F52893">
        <w:rPr>
          <w:rFonts w:asciiTheme="majorHAnsi" w:hAnsiTheme="majorHAnsi" w:cstheme="majorHAnsi"/>
        </w:rPr>
        <w:t xml:space="preserve"> – End of Support: January 14, 2020</w:t>
      </w:r>
    </w:p>
    <w:p w14:paraId="50F413F4" w14:textId="77777777" w:rsidR="00F52893" w:rsidRPr="00F52893" w:rsidRDefault="00F52893" w:rsidP="006265F8">
      <w:pPr>
        <w:pStyle w:val="NormalWeb"/>
        <w:numPr>
          <w:ilvl w:val="0"/>
          <w:numId w:val="1"/>
        </w:numPr>
        <w:rPr>
          <w:rFonts w:asciiTheme="majorHAnsi" w:hAnsiTheme="majorHAnsi" w:cstheme="majorHAnsi"/>
        </w:rPr>
      </w:pPr>
      <w:r w:rsidRPr="00F52893">
        <w:rPr>
          <w:rStyle w:val="Strong"/>
          <w:rFonts w:asciiTheme="majorHAnsi" w:eastAsiaTheme="majorEastAsia" w:hAnsiTheme="majorHAnsi" w:cstheme="majorHAnsi"/>
        </w:rPr>
        <w:t>Windows 10</w:t>
      </w:r>
      <w:r w:rsidRPr="00F52893">
        <w:rPr>
          <w:rFonts w:asciiTheme="majorHAnsi" w:hAnsiTheme="majorHAnsi" w:cstheme="majorHAnsi"/>
        </w:rPr>
        <w:t xml:space="preserve"> – End of Support: October 14, 2025</w:t>
      </w:r>
    </w:p>
    <w:p w14:paraId="3EAE5899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Once an operating system is out of support:</w:t>
      </w:r>
    </w:p>
    <w:p w14:paraId="4189C112" w14:textId="77777777" w:rsidR="00F52893" w:rsidRPr="00F52893" w:rsidRDefault="00F52893" w:rsidP="006265F8">
      <w:pPr>
        <w:pStyle w:val="NormalWeb"/>
        <w:numPr>
          <w:ilvl w:val="0"/>
          <w:numId w:val="2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No security patches or vulnerability remediation are provided</w:t>
      </w:r>
    </w:p>
    <w:p w14:paraId="5CC0A10F" w14:textId="77777777" w:rsidR="00F52893" w:rsidRPr="00F52893" w:rsidRDefault="00F52893" w:rsidP="006265F8">
      <w:pPr>
        <w:pStyle w:val="NormalWeb"/>
        <w:numPr>
          <w:ilvl w:val="0"/>
          <w:numId w:val="2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Known exploits remain permanently unaddressed</w:t>
      </w:r>
    </w:p>
    <w:p w14:paraId="64EFAE43" w14:textId="77777777" w:rsidR="00F52893" w:rsidRPr="00F52893" w:rsidRDefault="00F52893" w:rsidP="006265F8">
      <w:pPr>
        <w:pStyle w:val="NormalWeb"/>
        <w:numPr>
          <w:ilvl w:val="0"/>
          <w:numId w:val="2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Risk increases over time, not decreases</w:t>
      </w:r>
    </w:p>
    <w:p w14:paraId="59FD3D2B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lastRenderedPageBreak/>
        <w:t xml:space="preserve">From a </w:t>
      </w:r>
      <w:r w:rsidRPr="00F52893">
        <w:rPr>
          <w:rStyle w:val="Strong"/>
          <w:rFonts w:asciiTheme="majorHAnsi" w:eastAsiaTheme="majorEastAsia" w:hAnsiTheme="majorHAnsi" w:cstheme="majorHAnsi"/>
        </w:rPr>
        <w:t>risk, audit, and governance perspective</w:t>
      </w:r>
      <w:r w:rsidRPr="00F52893">
        <w:rPr>
          <w:rFonts w:asciiTheme="majorHAnsi" w:hAnsiTheme="majorHAnsi" w:cstheme="majorHAnsi"/>
        </w:rPr>
        <w:t xml:space="preserve">, continued operation of unsupported operating systems represents an </w:t>
      </w:r>
      <w:r w:rsidRPr="00F52893">
        <w:rPr>
          <w:rStyle w:val="Strong"/>
          <w:rFonts w:asciiTheme="majorHAnsi" w:eastAsiaTheme="majorEastAsia" w:hAnsiTheme="majorHAnsi" w:cstheme="majorHAnsi"/>
        </w:rPr>
        <w:t>unacceptable and compounding exposure</w:t>
      </w:r>
      <w:r w:rsidRPr="00F52893">
        <w:rPr>
          <w:rFonts w:asciiTheme="majorHAnsi" w:hAnsiTheme="majorHAnsi" w:cstheme="majorHAnsi"/>
        </w:rPr>
        <w:t xml:space="preserve"> within the environment.</w:t>
      </w:r>
    </w:p>
    <w:p w14:paraId="63208BFC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23912BB4">
          <v:rect id="_x0000_i1027" style="width:0;height:1.5pt" o:hralign="center" o:hrstd="t" o:hr="t" fillcolor="#a0a0a0" stroked="f"/>
        </w:pict>
      </w:r>
    </w:p>
    <w:p w14:paraId="72A73BEE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Network Isolation Does Not Eliminate Risk</w:t>
      </w:r>
    </w:p>
    <w:p w14:paraId="14B2FD32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While the GBCs are often described as “isolated,” they are </w:t>
      </w:r>
      <w:r w:rsidRPr="00F52893">
        <w:rPr>
          <w:rStyle w:val="Strong"/>
          <w:rFonts w:asciiTheme="majorHAnsi" w:eastAsiaTheme="majorEastAsia" w:hAnsiTheme="majorHAnsi" w:cstheme="majorHAnsi"/>
        </w:rPr>
        <w:t>not air-gapped systems</w:t>
      </w:r>
      <w:r w:rsidRPr="00F52893">
        <w:rPr>
          <w:rFonts w:asciiTheme="majorHAnsi" w:hAnsiTheme="majorHAnsi" w:cstheme="majorHAnsi"/>
        </w:rPr>
        <w:t>:</w:t>
      </w:r>
    </w:p>
    <w:p w14:paraId="31A811A6" w14:textId="77777777" w:rsidR="00F52893" w:rsidRPr="00F52893" w:rsidRDefault="00F52893" w:rsidP="006265F8">
      <w:pPr>
        <w:pStyle w:val="NormalWeb"/>
        <w:numPr>
          <w:ilvl w:val="0"/>
          <w:numId w:val="3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IP addresses are assigned to installed Green Box Controllers</w:t>
      </w:r>
    </w:p>
    <w:p w14:paraId="17B9E6C6" w14:textId="77777777" w:rsidR="00F52893" w:rsidRPr="00F52893" w:rsidRDefault="00F52893" w:rsidP="006265F8">
      <w:pPr>
        <w:pStyle w:val="NormalWeb"/>
        <w:numPr>
          <w:ilvl w:val="0"/>
          <w:numId w:val="3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GBCs are connected to the network (even if segmented)</w:t>
      </w:r>
    </w:p>
    <w:p w14:paraId="51D6E8C2" w14:textId="77777777" w:rsidR="00F52893" w:rsidRPr="00F52893" w:rsidRDefault="00F52893" w:rsidP="006265F8">
      <w:pPr>
        <w:pStyle w:val="NormalWeb"/>
        <w:numPr>
          <w:ilvl w:val="0"/>
          <w:numId w:val="3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Access is typically controlled via ACLs on local switches</w:t>
      </w:r>
    </w:p>
    <w:p w14:paraId="3CAC4879" w14:textId="77777777" w:rsidR="00F52893" w:rsidRPr="00F52893" w:rsidRDefault="00F52893" w:rsidP="006265F8">
      <w:pPr>
        <w:pStyle w:val="NormalWeb"/>
        <w:numPr>
          <w:ilvl w:val="0"/>
          <w:numId w:val="3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BACnet and supervisory integrations require network connectivity</w:t>
      </w:r>
    </w:p>
    <w:p w14:paraId="3865164F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This architecture means:</w:t>
      </w:r>
    </w:p>
    <w:p w14:paraId="1915B210" w14:textId="77777777" w:rsidR="00F52893" w:rsidRPr="00F52893" w:rsidRDefault="00F52893" w:rsidP="006265F8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Vulnerabilities still exist at the operating system level</w:t>
      </w:r>
    </w:p>
    <w:p w14:paraId="705CCFB9" w14:textId="77777777" w:rsidR="00F52893" w:rsidRPr="00F52893" w:rsidRDefault="00F52893" w:rsidP="006265F8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Compromised credentials, misconfigurations, or lateral movement can expose these devices</w:t>
      </w:r>
    </w:p>
    <w:p w14:paraId="3399EA16" w14:textId="77777777" w:rsidR="00F52893" w:rsidRPr="00F52893" w:rsidRDefault="00F52893" w:rsidP="006265F8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Legacy Windows systems are </w:t>
      </w:r>
      <w:r w:rsidRPr="00F52893">
        <w:rPr>
          <w:rStyle w:val="Strong"/>
          <w:rFonts w:asciiTheme="majorHAnsi" w:eastAsiaTheme="majorEastAsia" w:hAnsiTheme="majorHAnsi" w:cstheme="majorHAnsi"/>
        </w:rPr>
        <w:t>high-value targets</w:t>
      </w:r>
      <w:r w:rsidRPr="00F52893">
        <w:rPr>
          <w:rFonts w:asciiTheme="majorHAnsi" w:hAnsiTheme="majorHAnsi" w:cstheme="majorHAnsi"/>
        </w:rPr>
        <w:t xml:space="preserve"> in critical infrastructure environments</w:t>
      </w:r>
    </w:p>
    <w:p w14:paraId="32B62DD4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Security best practices and cyber-insurance standards increasingly reject “logically isolated” legacy Windows systems as an acceptable long-term control.</w:t>
      </w:r>
    </w:p>
    <w:p w14:paraId="1208DDB5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1346601A">
          <v:rect id="_x0000_i1028" style="width:0;height:1.5pt" o:hralign="center" o:hrstd="t" o:hr="t" fillcolor="#a0a0a0" stroked="f"/>
        </w:pict>
      </w:r>
    </w:p>
    <w:p w14:paraId="792E2B5D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Cybersecurity &amp; Technical Risk Context</w:t>
      </w:r>
    </w:p>
    <w:p w14:paraId="7B427AFA" w14:textId="77777777" w:rsidR="00F52893" w:rsidRPr="00F52893" w:rsidRDefault="00F52893" w:rsidP="00F52893">
      <w:pPr>
        <w:pStyle w:val="Heading3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Legacy Microsoft Windows on “Isolated” Control Networks</w:t>
      </w:r>
    </w:p>
    <w:p w14:paraId="4074D41D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Although Green Box Controllers are often described as operating on an “isolated” or “segmented” network, this designation does </w:t>
      </w:r>
      <w:r w:rsidRPr="00F52893">
        <w:rPr>
          <w:rStyle w:val="Strong"/>
          <w:rFonts w:asciiTheme="majorHAnsi" w:eastAsiaTheme="majorEastAsia" w:hAnsiTheme="majorHAnsi" w:cstheme="majorHAnsi"/>
        </w:rPr>
        <w:t>not</w:t>
      </w:r>
      <w:r w:rsidRPr="00F52893">
        <w:rPr>
          <w:rFonts w:asciiTheme="majorHAnsi" w:hAnsiTheme="majorHAnsi" w:cstheme="majorHAnsi"/>
        </w:rPr>
        <w:t xml:space="preserve"> eliminate cybersecurity risk when the underlying operating system is unsupported.</w:t>
      </w:r>
    </w:p>
    <w:p w14:paraId="5CFA29C9" w14:textId="7B0ED300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A system is only truly isolated if it is </w:t>
      </w:r>
      <w:r w:rsidRPr="00F52893">
        <w:rPr>
          <w:rStyle w:val="Strong"/>
          <w:rFonts w:asciiTheme="majorHAnsi" w:eastAsiaTheme="majorEastAsia" w:hAnsiTheme="majorHAnsi" w:cstheme="majorHAnsi"/>
        </w:rPr>
        <w:t>physically disconnected</w:t>
      </w:r>
      <w:r w:rsidRPr="00F52893">
        <w:rPr>
          <w:rFonts w:asciiTheme="majorHAnsi" w:hAnsiTheme="majorHAnsi" w:cstheme="majorHAnsi"/>
        </w:rPr>
        <w:t xml:space="preserve"> (no Ethernet, no wireless, no upstream </w:t>
      </w:r>
      <w:r>
        <w:rPr>
          <w:rFonts w:asciiTheme="majorHAnsi" w:hAnsiTheme="majorHAnsi" w:cstheme="majorHAnsi"/>
        </w:rPr>
        <w:t xml:space="preserve">connections or </w:t>
      </w:r>
      <w:r w:rsidRPr="00F52893">
        <w:rPr>
          <w:rFonts w:asciiTheme="majorHAnsi" w:hAnsiTheme="majorHAnsi" w:cstheme="majorHAnsi"/>
        </w:rPr>
        <w:t xml:space="preserve">integrations). In </w:t>
      </w:r>
      <w:r>
        <w:rPr>
          <w:rFonts w:asciiTheme="majorHAnsi" w:hAnsiTheme="majorHAnsi" w:cstheme="majorHAnsi"/>
        </w:rPr>
        <w:t>all</w:t>
      </w:r>
      <w:r w:rsidRPr="00F52893">
        <w:rPr>
          <w:rFonts w:asciiTheme="majorHAnsi" w:hAnsiTheme="majorHAnsi" w:cstheme="majorHAnsi"/>
        </w:rPr>
        <w:t xml:space="preserve"> deployment</w:t>
      </w:r>
      <w:r>
        <w:rPr>
          <w:rFonts w:asciiTheme="majorHAnsi" w:hAnsiTheme="majorHAnsi" w:cstheme="majorHAnsi"/>
        </w:rPr>
        <w:t>s</w:t>
      </w:r>
      <w:r w:rsidRPr="00F52893">
        <w:rPr>
          <w:rFonts w:asciiTheme="majorHAnsi" w:hAnsiTheme="majorHAnsi" w:cstheme="majorHAnsi"/>
        </w:rPr>
        <w:t>, GBCs:</w:t>
      </w:r>
    </w:p>
    <w:p w14:paraId="0421E847" w14:textId="77777777" w:rsidR="00F52893" w:rsidRPr="00F52893" w:rsidRDefault="00F52893" w:rsidP="006265F8">
      <w:pPr>
        <w:pStyle w:val="NormalWeb"/>
        <w:numPr>
          <w:ilvl w:val="0"/>
          <w:numId w:val="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Maintain static or dynamic IP addresses</w:t>
      </w:r>
    </w:p>
    <w:p w14:paraId="23D8A09F" w14:textId="77777777" w:rsidR="00F52893" w:rsidRPr="00F52893" w:rsidRDefault="00F52893" w:rsidP="006265F8">
      <w:pPr>
        <w:pStyle w:val="NormalWeb"/>
        <w:numPr>
          <w:ilvl w:val="0"/>
          <w:numId w:val="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Are connected to the campus or enterprise network (even if on a dedicated VLAN)</w:t>
      </w:r>
    </w:p>
    <w:p w14:paraId="4896A969" w14:textId="77777777" w:rsidR="00F52893" w:rsidRPr="00F52893" w:rsidRDefault="00F52893" w:rsidP="006265F8">
      <w:pPr>
        <w:pStyle w:val="NormalWeb"/>
        <w:numPr>
          <w:ilvl w:val="0"/>
          <w:numId w:val="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Communicate with BAS and supervisory systems via </w:t>
      </w:r>
      <w:r w:rsidRPr="00F52893">
        <w:rPr>
          <w:rStyle w:val="Strong"/>
          <w:rFonts w:asciiTheme="majorHAnsi" w:eastAsiaTheme="majorEastAsia" w:hAnsiTheme="majorHAnsi" w:cstheme="majorHAnsi"/>
        </w:rPr>
        <w:t>BACnet/IP</w:t>
      </w:r>
    </w:p>
    <w:p w14:paraId="56EDFD15" w14:textId="77777777" w:rsidR="00F52893" w:rsidRPr="00F52893" w:rsidRDefault="00F52893" w:rsidP="006265F8">
      <w:pPr>
        <w:pStyle w:val="NormalWeb"/>
        <w:numPr>
          <w:ilvl w:val="0"/>
          <w:numId w:val="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Rely on network access controls (ACLs) rather than physical isolation</w:t>
      </w:r>
    </w:p>
    <w:p w14:paraId="0312E39A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lastRenderedPageBreak/>
        <w:t xml:space="preserve">As a result, these devices remain </w:t>
      </w:r>
      <w:r w:rsidRPr="00F52893">
        <w:rPr>
          <w:rStyle w:val="Strong"/>
          <w:rFonts w:asciiTheme="majorHAnsi" w:eastAsiaTheme="majorEastAsia" w:hAnsiTheme="majorHAnsi" w:cstheme="majorHAnsi"/>
        </w:rPr>
        <w:t>reachable, addressable, and exploitable</w:t>
      </w:r>
      <w:r w:rsidRPr="00F52893">
        <w:rPr>
          <w:rFonts w:asciiTheme="majorHAnsi" w:hAnsiTheme="majorHAnsi" w:cstheme="majorHAnsi"/>
        </w:rPr>
        <w:t xml:space="preserve"> under certain conditions.</w:t>
      </w:r>
    </w:p>
    <w:p w14:paraId="06B23DAD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0DE17268">
          <v:rect id="_x0000_i1029" style="width:0;height:1.5pt" o:hralign="center" o:hrstd="t" o:hr="t" fillcolor="#a0a0a0" stroked="f"/>
        </w:pict>
      </w:r>
    </w:p>
    <w:p w14:paraId="7EF4C833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Why End-of-Support Windows 7 / 10 Represents a Material Risk</w:t>
      </w:r>
    </w:p>
    <w:p w14:paraId="0FB13FC3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When Microsoft ends support for an operating system, the following conditions apply permanently:</w:t>
      </w:r>
    </w:p>
    <w:p w14:paraId="1DE7CE1E" w14:textId="77777777" w:rsidR="00F52893" w:rsidRPr="00F52893" w:rsidRDefault="00F52893" w:rsidP="006265F8">
      <w:pPr>
        <w:pStyle w:val="NormalWeb"/>
        <w:numPr>
          <w:ilvl w:val="0"/>
          <w:numId w:val="6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No security patches for newly discovered vulnerabilities</w:t>
      </w:r>
    </w:p>
    <w:p w14:paraId="60DB2A2A" w14:textId="77777777" w:rsidR="00F52893" w:rsidRPr="00F52893" w:rsidRDefault="00F52893" w:rsidP="006265F8">
      <w:pPr>
        <w:pStyle w:val="NormalWeb"/>
        <w:numPr>
          <w:ilvl w:val="0"/>
          <w:numId w:val="6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No remediation for known exploits</w:t>
      </w:r>
    </w:p>
    <w:p w14:paraId="52ED8238" w14:textId="77777777" w:rsidR="00F52893" w:rsidRPr="00F52893" w:rsidRDefault="00F52893" w:rsidP="006265F8">
      <w:pPr>
        <w:pStyle w:val="NormalWeb"/>
        <w:numPr>
          <w:ilvl w:val="0"/>
          <w:numId w:val="6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Public exploit availability increases over time</w:t>
      </w:r>
    </w:p>
    <w:p w14:paraId="7CA98CEF" w14:textId="77777777" w:rsidR="00F52893" w:rsidRPr="00F52893" w:rsidRDefault="00F52893" w:rsidP="006265F8">
      <w:pPr>
        <w:pStyle w:val="NormalWeb"/>
        <w:numPr>
          <w:ilvl w:val="0"/>
          <w:numId w:val="6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Vulnerabilities become well documented and weaponized</w:t>
      </w:r>
    </w:p>
    <w:p w14:paraId="0F90B0ED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Legacy Windows systems are widely targeted because attackers know:</w:t>
      </w:r>
    </w:p>
    <w:p w14:paraId="3CE03091" w14:textId="77777777" w:rsidR="00F52893" w:rsidRPr="00F52893" w:rsidRDefault="00F52893" w:rsidP="006265F8">
      <w:pPr>
        <w:pStyle w:val="NormalWeb"/>
        <w:numPr>
          <w:ilvl w:val="0"/>
          <w:numId w:val="7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Vulnerabilities will never be fixed</w:t>
      </w:r>
    </w:p>
    <w:p w14:paraId="7FB3F48D" w14:textId="77777777" w:rsidR="00F52893" w:rsidRPr="00F52893" w:rsidRDefault="00F52893" w:rsidP="006265F8">
      <w:pPr>
        <w:pStyle w:val="NormalWeb"/>
        <w:numPr>
          <w:ilvl w:val="0"/>
          <w:numId w:val="7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Defensive tooling is limited or outdated</w:t>
      </w:r>
    </w:p>
    <w:p w14:paraId="35B9C92C" w14:textId="77777777" w:rsidR="00F52893" w:rsidRPr="00F52893" w:rsidRDefault="00F52893" w:rsidP="006265F8">
      <w:pPr>
        <w:pStyle w:val="NormalWeb"/>
        <w:numPr>
          <w:ilvl w:val="0"/>
          <w:numId w:val="7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These systems are often implicitly trusted within internal networks</w:t>
      </w:r>
    </w:p>
    <w:p w14:paraId="336771E1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1CEEB2A9">
          <v:rect id="_x0000_i1030" style="width:0;height:1.5pt" o:hralign="center" o:hrstd="t" o:hr="t" fillcolor="#a0a0a0" stroked="f"/>
        </w:pict>
      </w:r>
    </w:p>
    <w:p w14:paraId="228896DD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How a Vulnerability Could Be Facilitated (Realistic Scenario)</w:t>
      </w:r>
    </w:p>
    <w:p w14:paraId="6D1052C1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Even without direct internet exposure, a Windows 7/10-based GBC can be compromised through common enterprise pathways, including:</w:t>
      </w:r>
    </w:p>
    <w:p w14:paraId="2643B857" w14:textId="77777777" w:rsidR="00F52893" w:rsidRPr="00F52893" w:rsidRDefault="00F52893" w:rsidP="006265F8">
      <w:pPr>
        <w:pStyle w:val="NormalWeb"/>
        <w:numPr>
          <w:ilvl w:val="0"/>
          <w:numId w:val="8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Lateral movement from another compromised device on the same or adjacent subnets</w:t>
      </w:r>
    </w:p>
    <w:p w14:paraId="0F03AFC2" w14:textId="77777777" w:rsidR="00F52893" w:rsidRPr="00F52893" w:rsidRDefault="00F52893" w:rsidP="006265F8">
      <w:pPr>
        <w:pStyle w:val="NormalWeb"/>
        <w:numPr>
          <w:ilvl w:val="0"/>
          <w:numId w:val="8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Misconfigured ACLs or firewall rules (common in long-lived environments)</w:t>
      </w:r>
    </w:p>
    <w:p w14:paraId="1B7A6A43" w14:textId="77777777" w:rsidR="00F52893" w:rsidRPr="00F52893" w:rsidRDefault="00F52893" w:rsidP="006265F8">
      <w:pPr>
        <w:pStyle w:val="NormalWeb"/>
        <w:numPr>
          <w:ilvl w:val="0"/>
          <w:numId w:val="8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Credential reuse or legacy service accounts</w:t>
      </w:r>
    </w:p>
    <w:p w14:paraId="424B5C70" w14:textId="77777777" w:rsidR="00F52893" w:rsidRPr="00F52893" w:rsidRDefault="00F52893" w:rsidP="006265F8">
      <w:pPr>
        <w:pStyle w:val="NormalWeb"/>
        <w:numPr>
          <w:ilvl w:val="0"/>
          <w:numId w:val="8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BACnet/IP or middleware service exposure</w:t>
      </w:r>
    </w:p>
    <w:p w14:paraId="60261532" w14:textId="77777777" w:rsidR="00F52893" w:rsidRPr="00F52893" w:rsidRDefault="00F52893" w:rsidP="006265F8">
      <w:pPr>
        <w:pStyle w:val="NormalWeb"/>
        <w:numPr>
          <w:ilvl w:val="0"/>
          <w:numId w:val="8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Maintenance laptops or vendor access systems temporarily connected to the network</w:t>
      </w:r>
    </w:p>
    <w:p w14:paraId="3007F735" w14:textId="77777777" w:rsidR="00F52893" w:rsidRPr="00F52893" w:rsidRDefault="00F52893" w:rsidP="006265F8">
      <w:pPr>
        <w:pStyle w:val="NormalWeb"/>
        <w:numPr>
          <w:ilvl w:val="0"/>
          <w:numId w:val="8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Internal phishing or malware infections that move east-west once inside the perimeter</w:t>
      </w:r>
    </w:p>
    <w:p w14:paraId="3CA37024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Once accessed, a compromised GBC could:</w:t>
      </w:r>
    </w:p>
    <w:p w14:paraId="6511DE48" w14:textId="77777777" w:rsidR="00F52893" w:rsidRPr="00F52893" w:rsidRDefault="00F52893" w:rsidP="006265F8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Disrupt or manipulate control logic</w:t>
      </w:r>
    </w:p>
    <w:p w14:paraId="79895BC0" w14:textId="77777777" w:rsidR="00F52893" w:rsidRPr="00F52893" w:rsidRDefault="00F52893" w:rsidP="006265F8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Serve as a persistence point inside the network</w:t>
      </w:r>
    </w:p>
    <w:p w14:paraId="2591CEA9" w14:textId="77777777" w:rsidR="00F52893" w:rsidRPr="00F52893" w:rsidRDefault="00F52893" w:rsidP="006265F8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lastRenderedPageBreak/>
        <w:t>Provide visibility into BAS topology and connected systems</w:t>
      </w:r>
    </w:p>
    <w:p w14:paraId="65B1F140" w14:textId="77777777" w:rsidR="00F52893" w:rsidRPr="00F52893" w:rsidRDefault="00F52893" w:rsidP="006265F8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Trigger operational outages or safety incidents</w:t>
      </w:r>
    </w:p>
    <w:p w14:paraId="76810581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Importantly, the absence of prior incidents does </w:t>
      </w:r>
      <w:r w:rsidRPr="00F52893">
        <w:rPr>
          <w:rStyle w:val="Strong"/>
          <w:rFonts w:asciiTheme="majorHAnsi" w:eastAsiaTheme="majorEastAsia" w:hAnsiTheme="majorHAnsi" w:cstheme="majorHAnsi"/>
        </w:rPr>
        <w:t>not</w:t>
      </w:r>
      <w:r w:rsidRPr="00F52893">
        <w:rPr>
          <w:rFonts w:asciiTheme="majorHAnsi" w:hAnsiTheme="majorHAnsi" w:cstheme="majorHAnsi"/>
        </w:rPr>
        <w:t xml:space="preserve"> reduce future risk—it often indicates </w:t>
      </w:r>
      <w:r w:rsidRPr="00F52893">
        <w:rPr>
          <w:rStyle w:val="Strong"/>
          <w:rFonts w:asciiTheme="majorHAnsi" w:eastAsiaTheme="majorEastAsia" w:hAnsiTheme="majorHAnsi" w:cstheme="majorHAnsi"/>
        </w:rPr>
        <w:t>latent exposure</w:t>
      </w:r>
      <w:r w:rsidRPr="00F52893">
        <w:rPr>
          <w:rFonts w:asciiTheme="majorHAnsi" w:hAnsiTheme="majorHAnsi" w:cstheme="majorHAnsi"/>
        </w:rPr>
        <w:t>.</w:t>
      </w:r>
    </w:p>
    <w:p w14:paraId="4EBD1D39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0C48BDB0">
          <v:rect id="_x0000_i1031" style="width:0;height:1.5pt" o:hralign="center" o:hrstd="t" o:hr="t" fillcolor="#a0a0a0" stroked="f"/>
        </w:pict>
      </w:r>
    </w:p>
    <w:p w14:paraId="4816FB2F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Risk Profile in the Network Environment</w:t>
      </w:r>
    </w:p>
    <w:p w14:paraId="34AF0DFF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Universities, hospitals, and enterprise environments are particularly exposed due to:</w:t>
      </w:r>
    </w:p>
    <w:p w14:paraId="3AB8B3E6" w14:textId="77777777" w:rsidR="00F52893" w:rsidRPr="00F52893" w:rsidRDefault="00F52893" w:rsidP="006265F8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Large, distributed networks</w:t>
      </w:r>
    </w:p>
    <w:p w14:paraId="5ADA443D" w14:textId="77777777" w:rsidR="00F52893" w:rsidRPr="00F52893" w:rsidRDefault="00F52893" w:rsidP="006265F8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Mixed-use environments (academic, healthcare, research)</w:t>
      </w:r>
    </w:p>
    <w:p w14:paraId="0278AF28" w14:textId="77777777" w:rsidR="00F52893" w:rsidRPr="00F52893" w:rsidRDefault="00F52893" w:rsidP="006265F8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High user counts and device diversity</w:t>
      </w:r>
    </w:p>
    <w:p w14:paraId="6AE44095" w14:textId="77777777" w:rsidR="00F52893" w:rsidRPr="00F52893" w:rsidRDefault="00F52893" w:rsidP="006265F8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Public funding, audit, and compliance requirements</w:t>
      </w:r>
    </w:p>
    <w:p w14:paraId="518E9708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Unsupported operating systems increasingly conflict with:</w:t>
      </w:r>
    </w:p>
    <w:p w14:paraId="6644E4E5" w14:textId="77777777" w:rsidR="00F52893" w:rsidRPr="00F52893" w:rsidRDefault="00F52893" w:rsidP="006265F8">
      <w:pPr>
        <w:pStyle w:val="NormalWeb"/>
        <w:numPr>
          <w:ilvl w:val="0"/>
          <w:numId w:val="11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Cyber-insurance underwriting standards</w:t>
      </w:r>
    </w:p>
    <w:p w14:paraId="7C0E20F8" w14:textId="77777777" w:rsidR="00F52893" w:rsidRPr="00F52893" w:rsidRDefault="00F52893" w:rsidP="006265F8">
      <w:pPr>
        <w:pStyle w:val="NormalWeb"/>
        <w:numPr>
          <w:ilvl w:val="0"/>
          <w:numId w:val="11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Internal IT security and risk-management policies</w:t>
      </w:r>
    </w:p>
    <w:p w14:paraId="4513CCFE" w14:textId="77777777" w:rsidR="00F52893" w:rsidRPr="00F52893" w:rsidRDefault="00F52893" w:rsidP="006265F8">
      <w:pPr>
        <w:pStyle w:val="NormalWeb"/>
        <w:numPr>
          <w:ilvl w:val="0"/>
          <w:numId w:val="11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Industry best practices for critical infrastructure and operational technology (OT)</w:t>
      </w:r>
    </w:p>
    <w:p w14:paraId="23AC12B4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5DA1B691">
          <v:rect id="_x0000_i1032" style="width:0;height:1.5pt" o:hralign="center" o:hrstd="t" o:hr="t" fillcolor="#a0a0a0" stroked="f"/>
        </w:pict>
      </w:r>
    </w:p>
    <w:p w14:paraId="1B56427C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Regulatory, Compliance &amp; Governance Considerations</w:t>
      </w:r>
    </w:p>
    <w:p w14:paraId="57414046" w14:textId="77777777" w:rsidR="00F52893" w:rsidRPr="00F52893" w:rsidRDefault="00F52893" w:rsidP="00F52893">
      <w:pPr>
        <w:pStyle w:val="Heading3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Public Sector, Healthcare &amp; Enterprise Context</w:t>
      </w:r>
    </w:p>
    <w:p w14:paraId="7D4BA43A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As publicly funded institutions and/or operators of mission-critical facilities, organizations such as </w:t>
      </w:r>
      <w:r w:rsidRPr="00F52893">
        <w:rPr>
          <w:rStyle w:val="Strong"/>
          <w:rFonts w:asciiTheme="majorHAnsi" w:eastAsiaTheme="majorEastAsia" w:hAnsiTheme="majorHAnsi" w:cstheme="majorHAnsi"/>
        </w:rPr>
        <w:t>universities, healthcare systems, and large enterprises</w:t>
      </w:r>
      <w:r w:rsidRPr="00F52893">
        <w:rPr>
          <w:rFonts w:asciiTheme="majorHAnsi" w:hAnsiTheme="majorHAnsi" w:cstheme="majorHAnsi"/>
        </w:rPr>
        <w:t xml:space="preserve"> are subject to elevated expectations related to </w:t>
      </w:r>
      <w:r w:rsidRPr="00F52893">
        <w:rPr>
          <w:rStyle w:val="Strong"/>
          <w:rFonts w:asciiTheme="majorHAnsi" w:eastAsiaTheme="majorEastAsia" w:hAnsiTheme="majorHAnsi" w:cstheme="majorHAnsi"/>
        </w:rPr>
        <w:t>cybersecurity governance, asset lifecycle management, operational continuity, and audit defensibility</w:t>
      </w:r>
      <w:r w:rsidRPr="00F52893">
        <w:rPr>
          <w:rFonts w:asciiTheme="majorHAnsi" w:hAnsiTheme="majorHAnsi" w:cstheme="majorHAnsi"/>
        </w:rPr>
        <w:t>.</w:t>
      </w:r>
    </w:p>
    <w:p w14:paraId="59E84D5D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Operating building automation and control infrastructure on unsupported Microsoft operating systems introduces compliance and governance risks that extend beyond IT, affecting </w:t>
      </w:r>
      <w:r w:rsidRPr="00F52893">
        <w:rPr>
          <w:rStyle w:val="Strong"/>
          <w:rFonts w:asciiTheme="majorHAnsi" w:eastAsiaTheme="majorEastAsia" w:hAnsiTheme="majorHAnsi" w:cstheme="majorHAnsi"/>
        </w:rPr>
        <w:t>facilities operations, research and clinical environments, safety-critical systems, and institutional risk oversight</w:t>
      </w:r>
      <w:r w:rsidRPr="00F52893">
        <w:rPr>
          <w:rFonts w:asciiTheme="majorHAnsi" w:hAnsiTheme="majorHAnsi" w:cstheme="majorHAnsi"/>
        </w:rPr>
        <w:t>.</w:t>
      </w:r>
    </w:p>
    <w:p w14:paraId="11ADD2B7" w14:textId="77777777" w:rsidR="006265F8" w:rsidRDefault="006265F8">
      <w:pPr>
        <w:rPr>
          <w:rStyle w:val="Strong"/>
          <w:rFonts w:asciiTheme="majorHAnsi" w:eastAsiaTheme="majorEastAsia" w:hAnsiTheme="majorHAnsi" w:cstheme="majorHAnsi"/>
          <w:sz w:val="24"/>
          <w:szCs w:val="24"/>
        </w:rPr>
      </w:pPr>
      <w:r>
        <w:rPr>
          <w:rStyle w:val="Strong"/>
          <w:rFonts w:asciiTheme="majorHAnsi" w:eastAsiaTheme="majorEastAsia" w:hAnsiTheme="majorHAnsi" w:cstheme="majorHAnsi"/>
        </w:rPr>
        <w:br w:type="page"/>
      </w:r>
    </w:p>
    <w:p w14:paraId="3FECD236" w14:textId="19E2178A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Style w:val="Strong"/>
          <w:rFonts w:asciiTheme="majorHAnsi" w:eastAsiaTheme="majorEastAsia" w:hAnsiTheme="majorHAnsi" w:cstheme="majorHAnsi"/>
        </w:rPr>
        <w:lastRenderedPageBreak/>
        <w:t>Key considerations include:</w:t>
      </w:r>
    </w:p>
    <w:p w14:paraId="7B492AE5" w14:textId="77777777" w:rsidR="00F52893" w:rsidRPr="00F52893" w:rsidRDefault="00F52893" w:rsidP="00F52893">
      <w:pPr>
        <w:pStyle w:val="Heading3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Lifecycle &amp; Vendor Support Governance</w:t>
      </w:r>
    </w:p>
    <w:p w14:paraId="40FF85C2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Industry best practices and internal audit frameworks across public sector, healthcare, and enterprise environments expect critical systems to operate on </w:t>
      </w:r>
      <w:r w:rsidRPr="00F52893">
        <w:rPr>
          <w:rStyle w:val="Strong"/>
          <w:rFonts w:asciiTheme="majorHAnsi" w:eastAsiaTheme="majorEastAsia" w:hAnsiTheme="majorHAnsi" w:cstheme="majorHAnsi"/>
        </w:rPr>
        <w:t>vendor-supported platforms</w:t>
      </w:r>
      <w:r w:rsidRPr="00F52893">
        <w:rPr>
          <w:rFonts w:asciiTheme="majorHAnsi" w:hAnsiTheme="majorHAnsi" w:cstheme="majorHAnsi"/>
        </w:rPr>
        <w:t xml:space="preserve"> with active security patching. End-of-Support operating systems are widely classified as </w:t>
      </w:r>
      <w:r w:rsidRPr="00F52893">
        <w:rPr>
          <w:rStyle w:val="Strong"/>
          <w:rFonts w:asciiTheme="majorHAnsi" w:eastAsiaTheme="majorEastAsia" w:hAnsiTheme="majorHAnsi" w:cstheme="majorHAnsi"/>
        </w:rPr>
        <w:t>non-compliant or high-risk exceptions</w:t>
      </w:r>
      <w:r w:rsidRPr="00F52893">
        <w:rPr>
          <w:rFonts w:asciiTheme="majorHAnsi" w:hAnsiTheme="majorHAnsi" w:cstheme="majorHAnsi"/>
        </w:rPr>
        <w:t>, often requiring formal documentation, compensating controls, or executive risk acceptance.</w:t>
      </w:r>
    </w:p>
    <w:p w14:paraId="25BB32FA" w14:textId="77777777" w:rsidR="00F52893" w:rsidRPr="00F52893" w:rsidRDefault="00F52893" w:rsidP="00F52893">
      <w:pPr>
        <w:pStyle w:val="Heading3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Cybersecurity Framework Alignment</w:t>
      </w:r>
    </w:p>
    <w:p w14:paraId="199F6FF2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Organizations are increasingly expected to align with recognized cybersecurity and risk frameworks (e.g., ISO/IEC 27001, NIST Cybersecurity Framework, sector-specific guidance, and provincial or state standards). Unsupported operating systems materially conflict with these frameworks, particularly in environments managing operational technology (OT) and building control systems.</w:t>
      </w:r>
    </w:p>
    <w:p w14:paraId="14966990" w14:textId="77777777" w:rsidR="00F52893" w:rsidRPr="00F52893" w:rsidRDefault="00F52893" w:rsidP="00F52893">
      <w:pPr>
        <w:pStyle w:val="Heading3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Audit, Oversight &amp; Due Diligence</w:t>
      </w:r>
    </w:p>
    <w:p w14:paraId="695C7A33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Legacy operating systems are frequently identified during internal audits, third-party risk assessments, cyber-insurance reviews, and post-incident investigations. Continued operation of unsupported platforms can increase audit findings, trigger remediation requirements, or necessitate formal risk acceptance and senior executive sign-off.</w:t>
      </w:r>
    </w:p>
    <w:p w14:paraId="1BC8DBE8" w14:textId="77777777" w:rsidR="00F52893" w:rsidRPr="00F52893" w:rsidRDefault="00F52893" w:rsidP="00F52893">
      <w:pPr>
        <w:pStyle w:val="Heading3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Research, Healthcare &amp; Safety-Critical Adjacency</w:t>
      </w:r>
    </w:p>
    <w:p w14:paraId="03A923E8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Facilities often support regulated research laboratories, healthcare and patient-care environments, clean rooms, data centers, and safety-critical operations. In these contexts, infrastructure reliability, system integrity, and security controls are expected to meet modern standards to reduce operational, safety, and liability exposure.</w:t>
      </w:r>
    </w:p>
    <w:p w14:paraId="0AD33FD8" w14:textId="77777777" w:rsidR="00F52893" w:rsidRPr="00F52893" w:rsidRDefault="00F52893" w:rsidP="00F52893">
      <w:pPr>
        <w:pStyle w:val="Heading3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Cyber Insurance &amp; Risk Transfer</w:t>
      </w:r>
    </w:p>
    <w:p w14:paraId="6544FCA9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Cyber-insurance providers increasingly assess the presence of unsupported operating systems when underwriting or renewing coverage. Legacy platforms may negatively impact policy eligibility, premiums, exclusions, or claim outcomes—particularly following a cybersecurity or operational incident.</w:t>
      </w:r>
    </w:p>
    <w:p w14:paraId="229DCC44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1FE5CA45">
          <v:rect id="_x0000_i1033" style="width:0;height:1.5pt" o:hralign="center" o:hrstd="t" o:hr="t" fillcolor="#a0a0a0" stroked="f"/>
        </w:pict>
      </w:r>
    </w:p>
    <w:p w14:paraId="1AB2239F" w14:textId="77777777" w:rsidR="00F52893" w:rsidRPr="006265F8" w:rsidRDefault="00F52893" w:rsidP="00F52893">
      <w:pPr>
        <w:pStyle w:val="NormalWeb"/>
        <w:rPr>
          <w:rFonts w:asciiTheme="majorHAnsi" w:hAnsiTheme="majorHAnsi" w:cstheme="majorHAnsi"/>
          <w:i/>
          <w:iCs/>
        </w:rPr>
      </w:pPr>
      <w:r w:rsidRPr="006265F8">
        <w:rPr>
          <w:rStyle w:val="Strong"/>
          <w:rFonts w:asciiTheme="majorHAnsi" w:eastAsiaTheme="majorEastAsia" w:hAnsiTheme="majorHAnsi" w:cstheme="majorHAnsi"/>
          <w:i/>
          <w:iCs/>
        </w:rPr>
        <w:t>From a governance standpoint, upgrading these systems represents proactive risk mitigation and lifecycle management—not discretionary modernization.</w:t>
      </w:r>
    </w:p>
    <w:p w14:paraId="3F0D5936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pict w14:anchorId="4D8D7AA1">
          <v:rect id="_x0000_i1034" style="width:0;height:1.5pt" o:hralign="center" o:hrstd="t" o:hr="t" fillcolor="#a0a0a0" stroked="f"/>
        </w:pict>
      </w:r>
    </w:p>
    <w:p w14:paraId="7E244D45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Risk Reduction Through GBC Upgrade</w:t>
      </w:r>
    </w:p>
    <w:p w14:paraId="51B55C68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Upgrading GBCs to a supported operating system and modern hardware platform:</w:t>
      </w:r>
    </w:p>
    <w:p w14:paraId="35A6E3DD" w14:textId="77777777" w:rsidR="00F52893" w:rsidRPr="00F52893" w:rsidRDefault="00F52893" w:rsidP="006265F8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Eliminates unsupported OS vulnerabilities</w:t>
      </w:r>
    </w:p>
    <w:p w14:paraId="5E806635" w14:textId="77777777" w:rsidR="00F52893" w:rsidRPr="00F52893" w:rsidRDefault="00F52893" w:rsidP="006265F8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Restores security patching and lifecycle support</w:t>
      </w:r>
    </w:p>
    <w:p w14:paraId="7EDDDFAF" w14:textId="77777777" w:rsidR="00F52893" w:rsidRPr="00F52893" w:rsidRDefault="00F52893" w:rsidP="006265F8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Reduces audit and compliance exposure</w:t>
      </w:r>
    </w:p>
    <w:p w14:paraId="20DB3403" w14:textId="77777777" w:rsidR="00F52893" w:rsidRPr="00F52893" w:rsidRDefault="00F52893" w:rsidP="006265F8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Aligns control systems with modern cybersecurity expectations</w:t>
      </w:r>
    </w:p>
    <w:p w14:paraId="14671F40" w14:textId="77777777" w:rsidR="00F52893" w:rsidRPr="00F52893" w:rsidRDefault="00F52893" w:rsidP="006265F8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Protects the broader BAS infrastructure from downstream risk</w:t>
      </w:r>
    </w:p>
    <w:p w14:paraId="53268AA7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This upgrade represents </w:t>
      </w:r>
      <w:r w:rsidRPr="00F52893">
        <w:rPr>
          <w:rStyle w:val="Strong"/>
          <w:rFonts w:asciiTheme="majorHAnsi" w:eastAsiaTheme="majorEastAsia" w:hAnsiTheme="majorHAnsi" w:cstheme="majorHAnsi"/>
        </w:rPr>
        <w:t>risk elimination</w:t>
      </w:r>
      <w:r w:rsidRPr="00F52893">
        <w:rPr>
          <w:rFonts w:asciiTheme="majorHAnsi" w:hAnsiTheme="majorHAnsi" w:cstheme="majorHAnsi"/>
        </w:rPr>
        <w:t>, not incremental improvement.</w:t>
      </w:r>
    </w:p>
    <w:p w14:paraId="08A20F8C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47A649DB">
          <v:rect id="_x0000_i1035" style="width:0;height:1.5pt" o:hralign="center" o:hrstd="t" o:hr="t" fillcolor="#a0a0a0" stroked="f"/>
        </w:pict>
      </w:r>
    </w:p>
    <w:p w14:paraId="4C3B3065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Financial Risk of Deferral</w:t>
      </w:r>
    </w:p>
    <w:p w14:paraId="15BC77EC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Deferring this upgrade introduces </w:t>
      </w:r>
      <w:r w:rsidRPr="00F52893">
        <w:rPr>
          <w:rStyle w:val="Strong"/>
          <w:rFonts w:asciiTheme="majorHAnsi" w:eastAsiaTheme="majorEastAsia" w:hAnsiTheme="majorHAnsi" w:cstheme="majorHAnsi"/>
        </w:rPr>
        <w:t>non-linear financial risk</w:t>
      </w:r>
      <w:r w:rsidRPr="00F52893">
        <w:rPr>
          <w:rFonts w:asciiTheme="majorHAnsi" w:hAnsiTheme="majorHAnsi" w:cstheme="majorHAnsi"/>
        </w:rPr>
        <w:t>, including:</w:t>
      </w:r>
    </w:p>
    <w:p w14:paraId="7A515B6B" w14:textId="77777777" w:rsidR="00F52893" w:rsidRPr="00F52893" w:rsidRDefault="00F52893" w:rsidP="006265F8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Incident response and remediation costs following a security event</w:t>
      </w:r>
    </w:p>
    <w:p w14:paraId="1E2D0B0A" w14:textId="77777777" w:rsidR="00F52893" w:rsidRPr="00F52893" w:rsidRDefault="00F52893" w:rsidP="006265F8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Emergency replacement premiums during unplanned failures</w:t>
      </w:r>
    </w:p>
    <w:p w14:paraId="410D3927" w14:textId="77777777" w:rsidR="00F52893" w:rsidRPr="00F52893" w:rsidRDefault="00F52893" w:rsidP="006265F8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Operational downtime impacting classrooms, labs, and research facilities</w:t>
      </w:r>
    </w:p>
    <w:p w14:paraId="335661B0" w14:textId="77777777" w:rsidR="00F52893" w:rsidRPr="00F52893" w:rsidRDefault="00F52893" w:rsidP="006265F8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Audit and compliance exposure for publicly funded programs</w:t>
      </w:r>
    </w:p>
    <w:p w14:paraId="13EE7295" w14:textId="77777777" w:rsidR="00F52893" w:rsidRPr="00F52893" w:rsidRDefault="00F52893" w:rsidP="006265F8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Loss of vendor support for aging hardware platforms</w:t>
      </w:r>
    </w:p>
    <w:p w14:paraId="3DAE8935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The cost of proactive upgrade is materially lower than the cost of remediation after failure or incident.</w:t>
      </w:r>
    </w:p>
    <w:p w14:paraId="6BD2903E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516C2874">
          <v:rect id="_x0000_i1036" style="width:0;height:1.5pt" o:hralign="center" o:hrstd="t" o:hr="t" fillcolor="#a0a0a0" stroked="f"/>
        </w:pict>
      </w:r>
    </w:p>
    <w:p w14:paraId="07F47A23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Investment Protection &amp; Long-Term Value</w:t>
      </w:r>
    </w:p>
    <w:p w14:paraId="48FE3B80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The proposed GBC upgrade provides:</w:t>
      </w:r>
    </w:p>
    <w:p w14:paraId="5C3D6C79" w14:textId="77777777" w:rsidR="00F52893" w:rsidRPr="00F52893" w:rsidRDefault="00F52893" w:rsidP="006265F8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Lifecycle protection through approximately </w:t>
      </w:r>
      <w:r w:rsidRPr="00F52893">
        <w:rPr>
          <w:rStyle w:val="Strong"/>
          <w:rFonts w:asciiTheme="majorHAnsi" w:eastAsiaTheme="majorEastAsia" w:hAnsiTheme="majorHAnsi" w:cstheme="majorHAnsi"/>
        </w:rPr>
        <w:t>2032</w:t>
      </w:r>
      <w:r w:rsidRPr="00F52893">
        <w:rPr>
          <w:rFonts w:asciiTheme="majorHAnsi" w:hAnsiTheme="majorHAnsi" w:cstheme="majorHAnsi"/>
        </w:rPr>
        <w:t>, aligned with capital planning horizons</w:t>
      </w:r>
    </w:p>
    <w:p w14:paraId="3B774908" w14:textId="77777777" w:rsidR="00F52893" w:rsidRPr="00F52893" w:rsidRDefault="00F52893" w:rsidP="006265F8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Compatibility with </w:t>
      </w:r>
      <w:r w:rsidRPr="00F52893">
        <w:rPr>
          <w:rStyle w:val="Strong"/>
          <w:rFonts w:asciiTheme="majorHAnsi" w:eastAsiaTheme="majorEastAsia" w:hAnsiTheme="majorHAnsi" w:cstheme="majorHAnsi"/>
        </w:rPr>
        <w:t>Wireless Pneumatic Thermostat v2</w:t>
      </w:r>
    </w:p>
    <w:p w14:paraId="6A398109" w14:textId="77777777" w:rsidR="00F52893" w:rsidRPr="00F52893" w:rsidRDefault="00F52893" w:rsidP="006265F8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Readiness for </w:t>
      </w:r>
      <w:r w:rsidRPr="00F52893">
        <w:rPr>
          <w:rStyle w:val="Strong"/>
          <w:rFonts w:asciiTheme="majorHAnsi" w:eastAsiaTheme="majorEastAsia" w:hAnsiTheme="majorHAnsi" w:cstheme="majorHAnsi"/>
        </w:rPr>
        <w:t>AI-powered Smart Pneumatics</w:t>
      </w:r>
      <w:r w:rsidRPr="00F52893">
        <w:rPr>
          <w:rFonts w:asciiTheme="majorHAnsi" w:hAnsiTheme="majorHAnsi" w:cstheme="majorHAnsi"/>
        </w:rPr>
        <w:t xml:space="preserve"> capabilities</w:t>
      </w:r>
    </w:p>
    <w:p w14:paraId="3B181AE6" w14:textId="77777777" w:rsidR="00F52893" w:rsidRPr="00F52893" w:rsidRDefault="00F52893" w:rsidP="006265F8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Optional SaaS services that reduce manual effort and long-term operating costs</w:t>
      </w:r>
    </w:p>
    <w:p w14:paraId="26CCC139" w14:textId="77777777" w:rsidR="00F52893" w:rsidRPr="00F52893" w:rsidRDefault="00F52893" w:rsidP="006265F8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Protection of existing BAS investments by modernizing the edge controller layer</w:t>
      </w:r>
    </w:p>
    <w:p w14:paraId="181D6F1E" w14:textId="77777777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This is </w:t>
      </w:r>
      <w:r w:rsidRPr="00F52893">
        <w:rPr>
          <w:rStyle w:val="Strong"/>
          <w:rFonts w:asciiTheme="majorHAnsi" w:eastAsiaTheme="majorEastAsia" w:hAnsiTheme="majorHAnsi" w:cstheme="majorHAnsi"/>
        </w:rPr>
        <w:t>not</w:t>
      </w:r>
      <w:r w:rsidRPr="00F52893">
        <w:rPr>
          <w:rFonts w:asciiTheme="majorHAnsi" w:hAnsiTheme="majorHAnsi" w:cstheme="majorHAnsi"/>
        </w:rPr>
        <w:t xml:space="preserve"> a rip-and-replace of the BAS—it is a strategic modernization of a critical control layer.</w:t>
      </w:r>
    </w:p>
    <w:p w14:paraId="3C3C8959" w14:textId="77777777" w:rsidR="00F52893" w:rsidRPr="00F52893" w:rsidRDefault="00533B36" w:rsidP="00F5289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3D58D870">
          <v:rect id="_x0000_i1037" style="width:0;height:1.5pt" o:hralign="center" o:hrstd="t" o:hr="t" fillcolor="#a0a0a0" stroked="f"/>
        </w:pict>
      </w:r>
    </w:p>
    <w:p w14:paraId="796DDEB0" w14:textId="77777777" w:rsidR="00F52893" w:rsidRPr="00F52893" w:rsidRDefault="00F52893" w:rsidP="00F52893">
      <w:pPr>
        <w:pStyle w:val="Heading2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Recommendation</w:t>
      </w:r>
    </w:p>
    <w:p w14:paraId="07051175" w14:textId="7B703676" w:rsidR="00F52893" w:rsidRPr="00F52893" w:rsidRDefault="00F52893" w:rsidP="00F52893">
      <w:pPr>
        <w:pStyle w:val="NormalWeb"/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 xml:space="preserve">Approve the upgrade and migration of </w:t>
      </w:r>
      <w:r w:rsidRPr="00F52893">
        <w:rPr>
          <w:rStyle w:val="Strong"/>
          <w:rFonts w:asciiTheme="majorHAnsi" w:eastAsiaTheme="majorEastAsia" w:hAnsiTheme="majorHAnsi" w:cstheme="majorHAnsi"/>
        </w:rPr>
        <w:t>installed Green Box Controllers</w:t>
      </w:r>
      <w:r w:rsidRPr="00F52893">
        <w:rPr>
          <w:rFonts w:asciiTheme="majorHAnsi" w:hAnsiTheme="majorHAnsi" w:cstheme="majorHAnsi"/>
        </w:rPr>
        <w:t xml:space="preserve"> under the Cypress Green Box Controller Upgrade Program to:</w:t>
      </w:r>
    </w:p>
    <w:p w14:paraId="687B715F" w14:textId="77777777" w:rsidR="00F52893" w:rsidRPr="00F52893" w:rsidRDefault="00F52893" w:rsidP="006265F8">
      <w:pPr>
        <w:pStyle w:val="NormalWeb"/>
        <w:numPr>
          <w:ilvl w:val="0"/>
          <w:numId w:val="1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Eliminate unsupported Microsoft OS risk</w:t>
      </w:r>
    </w:p>
    <w:p w14:paraId="62B9285F" w14:textId="77777777" w:rsidR="00F52893" w:rsidRPr="00F52893" w:rsidRDefault="00F52893" w:rsidP="006265F8">
      <w:pPr>
        <w:pStyle w:val="NormalWeb"/>
        <w:numPr>
          <w:ilvl w:val="0"/>
          <w:numId w:val="1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Reduce cybersecurity and compliance exposure</w:t>
      </w:r>
    </w:p>
    <w:p w14:paraId="744E9CB3" w14:textId="77777777" w:rsidR="00F52893" w:rsidRPr="00F52893" w:rsidRDefault="00F52893" w:rsidP="006265F8">
      <w:pPr>
        <w:pStyle w:val="NormalWeb"/>
        <w:numPr>
          <w:ilvl w:val="0"/>
          <w:numId w:val="1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Strengthen audit defensibility and governance alignment</w:t>
      </w:r>
    </w:p>
    <w:p w14:paraId="06DE7737" w14:textId="77777777" w:rsidR="00F52893" w:rsidRPr="00F52893" w:rsidRDefault="00F52893" w:rsidP="006265F8">
      <w:pPr>
        <w:pStyle w:val="NormalWeb"/>
        <w:numPr>
          <w:ilvl w:val="0"/>
          <w:numId w:val="1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Protect existing BAS infrastructure investments</w:t>
      </w:r>
    </w:p>
    <w:p w14:paraId="1F9039F2" w14:textId="77777777" w:rsidR="00F52893" w:rsidRPr="00F52893" w:rsidRDefault="00F52893" w:rsidP="006265F8">
      <w:pPr>
        <w:pStyle w:val="NormalWeb"/>
        <w:numPr>
          <w:ilvl w:val="0"/>
          <w:numId w:val="1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Extend system life into the next decade</w:t>
      </w:r>
    </w:p>
    <w:p w14:paraId="7B0BBEE5" w14:textId="77777777" w:rsidR="00F52893" w:rsidRPr="00F52893" w:rsidRDefault="00F52893" w:rsidP="006265F8">
      <w:pPr>
        <w:pStyle w:val="NormalWeb"/>
        <w:numPr>
          <w:ilvl w:val="0"/>
          <w:numId w:val="15"/>
        </w:numPr>
        <w:rPr>
          <w:rFonts w:asciiTheme="majorHAnsi" w:hAnsiTheme="majorHAnsi" w:cstheme="majorHAnsi"/>
        </w:rPr>
      </w:pPr>
      <w:r w:rsidRPr="00F52893">
        <w:rPr>
          <w:rFonts w:asciiTheme="majorHAnsi" w:hAnsiTheme="majorHAnsi" w:cstheme="majorHAnsi"/>
        </w:rPr>
        <w:t>Enable future operational efficiencies without re-architecture</w:t>
      </w:r>
    </w:p>
    <w:p w14:paraId="09F37B55" w14:textId="77777777" w:rsidR="003F0463" w:rsidRPr="00F52893" w:rsidRDefault="003F0463" w:rsidP="00F52893">
      <w:pPr>
        <w:rPr>
          <w:rFonts w:asciiTheme="majorHAnsi" w:hAnsiTheme="majorHAnsi" w:cstheme="majorHAnsi"/>
        </w:rPr>
      </w:pPr>
    </w:p>
    <w:sectPr w:rsidR="003F0463" w:rsidRPr="00F5289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7C9D"/>
    <w:multiLevelType w:val="multilevel"/>
    <w:tmpl w:val="EAE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529AD"/>
    <w:multiLevelType w:val="multilevel"/>
    <w:tmpl w:val="397A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428CA"/>
    <w:multiLevelType w:val="multilevel"/>
    <w:tmpl w:val="043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32463"/>
    <w:multiLevelType w:val="multilevel"/>
    <w:tmpl w:val="6244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24DFA"/>
    <w:multiLevelType w:val="multilevel"/>
    <w:tmpl w:val="6FCC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84643"/>
    <w:multiLevelType w:val="multilevel"/>
    <w:tmpl w:val="9CD6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7637A7"/>
    <w:multiLevelType w:val="multilevel"/>
    <w:tmpl w:val="7B28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A95F0F"/>
    <w:multiLevelType w:val="multilevel"/>
    <w:tmpl w:val="2AA0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904BEC"/>
    <w:multiLevelType w:val="multilevel"/>
    <w:tmpl w:val="B4D6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9459A1"/>
    <w:multiLevelType w:val="multilevel"/>
    <w:tmpl w:val="9252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A2BC1"/>
    <w:multiLevelType w:val="multilevel"/>
    <w:tmpl w:val="AE26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C145C9"/>
    <w:multiLevelType w:val="multilevel"/>
    <w:tmpl w:val="0A6E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7206EB"/>
    <w:multiLevelType w:val="multilevel"/>
    <w:tmpl w:val="3BAA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0107E0"/>
    <w:multiLevelType w:val="multilevel"/>
    <w:tmpl w:val="A630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46626A"/>
    <w:multiLevelType w:val="multilevel"/>
    <w:tmpl w:val="744A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020925">
    <w:abstractNumId w:val="10"/>
  </w:num>
  <w:num w:numId="2" w16cid:durableId="2034842251">
    <w:abstractNumId w:val="11"/>
  </w:num>
  <w:num w:numId="3" w16cid:durableId="509221883">
    <w:abstractNumId w:val="4"/>
  </w:num>
  <w:num w:numId="4" w16cid:durableId="325977765">
    <w:abstractNumId w:val="1"/>
  </w:num>
  <w:num w:numId="5" w16cid:durableId="1729113978">
    <w:abstractNumId w:val="3"/>
  </w:num>
  <w:num w:numId="6" w16cid:durableId="1282808403">
    <w:abstractNumId w:val="13"/>
  </w:num>
  <w:num w:numId="7" w16cid:durableId="1327393451">
    <w:abstractNumId w:val="6"/>
  </w:num>
  <w:num w:numId="8" w16cid:durableId="649092790">
    <w:abstractNumId w:val="12"/>
  </w:num>
  <w:num w:numId="9" w16cid:durableId="1872187823">
    <w:abstractNumId w:val="0"/>
  </w:num>
  <w:num w:numId="10" w16cid:durableId="182941301">
    <w:abstractNumId w:val="5"/>
  </w:num>
  <w:num w:numId="11" w16cid:durableId="1533374810">
    <w:abstractNumId w:val="8"/>
  </w:num>
  <w:num w:numId="12" w16cid:durableId="982083084">
    <w:abstractNumId w:val="9"/>
  </w:num>
  <w:num w:numId="13" w16cid:durableId="1537498079">
    <w:abstractNumId w:val="2"/>
  </w:num>
  <w:num w:numId="14" w16cid:durableId="1010720658">
    <w:abstractNumId w:val="14"/>
  </w:num>
  <w:num w:numId="15" w16cid:durableId="1509440804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D3"/>
    <w:rsid w:val="00030899"/>
    <w:rsid w:val="002B368C"/>
    <w:rsid w:val="003142D3"/>
    <w:rsid w:val="003F0463"/>
    <w:rsid w:val="00533B36"/>
    <w:rsid w:val="006265F8"/>
    <w:rsid w:val="006F5ECF"/>
    <w:rsid w:val="008140BB"/>
    <w:rsid w:val="008D556B"/>
    <w:rsid w:val="0090445A"/>
    <w:rsid w:val="00C813D1"/>
    <w:rsid w:val="00D0439F"/>
    <w:rsid w:val="00E63FCD"/>
    <w:rsid w:val="00F22836"/>
    <w:rsid w:val="00F52893"/>
    <w:rsid w:val="00F84583"/>
    <w:rsid w:val="00FA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126E26AA"/>
  <w15:chartTrackingRefBased/>
  <w15:docId w15:val="{42198B3D-A17B-4428-91BA-19A0EDD5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8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142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42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42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142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1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142D3"/>
    <w:rPr>
      <w:b/>
      <w:bCs/>
    </w:rPr>
  </w:style>
  <w:style w:type="character" w:styleId="Emphasis">
    <w:name w:val="Emphasis"/>
    <w:basedOn w:val="DefaultParagraphFont"/>
    <w:uiPriority w:val="20"/>
    <w:qFormat/>
    <w:rsid w:val="003142D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308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38</vt:i4>
      </vt:variant>
    </vt:vector>
  </HeadingPairs>
  <TitlesOfParts>
    <vt:vector size="39" baseType="lpstr">
      <vt:lpstr/>
      <vt:lpstr>Financial &amp; Technical Justification</vt:lpstr>
      <vt:lpstr>    Cypress Envirosystems Green Box Controller (GBC) Upgrade &amp; Migration</vt:lpstr>
      <vt:lpstr>        University Facilities &amp; Building Automation Systems</vt:lpstr>
      <vt:lpstr>        Executive Summary</vt:lpstr>
      <vt:lpstr>    Primary Business Driver: Microsoft End-of-Support Risk</vt:lpstr>
      <vt:lpstr>    Network Isolation Does Not Eliminate Risk</vt:lpstr>
      <vt:lpstr>    Cybersecurity &amp; Technical Risk Context</vt:lpstr>
      <vt:lpstr>        Legacy Microsoft Windows on “Isolated” Control Networks</vt:lpstr>
      <vt:lpstr>    Why End-of-Support Windows 7 / Windows 10 Represents a Material Risk</vt:lpstr>
      <vt:lpstr>    How a University Vulnerability Could Be Facilitated (Realistic Scenario)</vt:lpstr>
      <vt:lpstr>    Risk Profile in the University Environment</vt:lpstr>
      <vt:lpstr>    Regulatory, Compliance &amp; Governance Considerations</vt:lpstr>
      <vt:lpstr>        Public University Context (Canada)</vt:lpstr>
      <vt:lpstr>    Risk Reduction Through GBC Upgrade</vt:lpstr>
      <vt:lpstr>    Financial Risk of Deferral</vt:lpstr>
      <vt:lpstr>    Investment Protection &amp; Long-Term Value</vt:lpstr>
      <vt:lpstr>    Recommendation</vt:lpstr>
      <vt:lpstr/>
      <vt:lpstr/>
      <vt:lpstr/>
      <vt:lpstr/>
      <vt:lpstr>Financial &amp; Technical Justification</vt:lpstr>
      <vt:lpstr>    Green Box Controller (GBC) Upgrade &amp; Migration</vt:lpstr>
      <vt:lpstr>        University Facilities &amp; Building Automation Systems</vt:lpstr>
      <vt:lpstr>    Executive Summary</vt:lpstr>
      <vt:lpstr>    Primary Business Driver: Microsoft End-of-Support Risk</vt:lpstr>
      <vt:lpstr>    Network Isolation Does Not Eliminate Risk</vt:lpstr>
      <vt:lpstr>    Cybersecurity &amp; Technical Risk Context</vt:lpstr>
      <vt:lpstr>        Legacy Microsoft Windows on “Isolated” Control Networks</vt:lpstr>
      <vt:lpstr>    Why End-of-Support Windows 7/10 Represents a Material Risk</vt:lpstr>
      <vt:lpstr>    How a University Vulnerability Could Be Facilitated (Realistic Scenario)</vt:lpstr>
      <vt:lpstr>    Risk Profile in the University Environment</vt:lpstr>
      <vt:lpstr>    Regulatory, Compliance &amp; Governance Considerations</vt:lpstr>
      <vt:lpstr>        Public University Context (Canada)</vt:lpstr>
      <vt:lpstr>    Risk Reduction Through GBC Upgrade</vt:lpstr>
      <vt:lpstr>    Financial Risk of Deferral</vt:lpstr>
      <vt:lpstr>    Investment Protection &amp; Long-Term Value</vt:lpstr>
      <vt:lpstr>    Recommendation</vt:lpstr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Burton</dc:creator>
  <cp:keywords/>
  <dc:description/>
  <cp:lastModifiedBy>Harry Sim</cp:lastModifiedBy>
  <cp:revision>2</cp:revision>
  <dcterms:created xsi:type="dcterms:W3CDTF">2026-01-23T17:33:00Z</dcterms:created>
  <dcterms:modified xsi:type="dcterms:W3CDTF">2026-01-23T17:33:00Z</dcterms:modified>
</cp:coreProperties>
</file>